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widowControl/>
        <w:spacing w:before="53" w:after="0"/>
        <w:ind w:left="6374" w:hanging="0"/>
        <w:rPr/>
      </w:pPr>
      <w:r>
        <w:rPr>
          <w:rStyle w:val="FontStyle12"/>
          <w:sz w:val="24"/>
          <w:szCs w:val="24"/>
          <w:lang w:val="uk-UA" w:eastAsia="uk-UA"/>
        </w:rPr>
        <w:t>Додаток № 2</w:t>
      </w:r>
    </w:p>
    <w:p>
      <w:pPr>
        <w:pStyle w:val="Style23"/>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3"/>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 xml:space="preserve">Комерційна пропозиція № 5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з п</w:t>
      </w:r>
      <w:r>
        <w:rPr/>
        <w:t>остачання електричної енергії як товарної продукції</w:t>
      </w:r>
      <w:r>
        <w:rPr>
          <w:lang w:val="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№5,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
          <w:szCs w:val="2"/>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2616"/>
        <w:gridCol w:w="2661"/>
        <w:gridCol w:w="2251"/>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w:t>
            </w:r>
          </w:p>
          <w:p>
            <w:pPr>
              <w:pStyle w:val="Style110"/>
              <w:widowControl/>
              <w:spacing w:lineRule="auto" w:line="276"/>
              <w:ind w:left="5" w:firstLine="424"/>
              <w:rPr/>
            </w:pPr>
            <w:r>
              <w:rPr>
                <w:rStyle w:val="FontStyle12"/>
                <w:sz w:val="24"/>
                <w:szCs w:val="24"/>
                <w:lang w:val="uk-UA" w:eastAsia="uk-UA"/>
              </w:rPr>
              <w:t>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w:t>
            </w:r>
          </w:p>
          <w:p>
            <w:pPr>
              <w:pStyle w:val="Style110"/>
              <w:widowControl/>
              <w:spacing w:lineRule="auto" w:line="276"/>
              <w:ind w:left="5" w:firstLine="424"/>
              <w:rPr/>
            </w:pPr>
            <w:r>
              <w:rPr>
                <w:rStyle w:val="FontStyle12"/>
                <w:sz w:val="24"/>
                <w:szCs w:val="24"/>
                <w:lang w:val="uk-UA" w:eastAsia="uk-UA"/>
              </w:rPr>
              <w:t>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4"/>
              <w:rPr/>
            </w:pPr>
            <w:r>
              <w:rPr>
                <w:rStyle w:val="FontStyle12"/>
                <w:sz w:val="24"/>
                <w:szCs w:val="24"/>
                <w:lang w:val="en-US" w:eastAsia="uk-UA"/>
              </w:rPr>
              <w:t>K</w:t>
            </w:r>
            <w:r>
              <w:rPr>
                <w:vertAlign w:val="subscript"/>
                <w:lang w:val="uk-UA"/>
              </w:rPr>
              <w:t>пост</w:t>
            </w:r>
            <w:r>
              <w:rPr>
                <w:rStyle w:val="FontStyle12"/>
                <w:lang w:val="uk-UA" w:eastAsia="uk-UA"/>
              </w:rPr>
              <w:t xml:space="preserve"> </w:t>
            </w:r>
            <w:r>
              <w:rPr>
                <w:rStyle w:val="FontStyle12"/>
                <w:sz w:val="24"/>
                <w:szCs w:val="24"/>
                <w:lang w:val="uk-UA" w:eastAsia="uk-UA"/>
              </w:rPr>
              <w:t>— коефіцієнт прибутковості Постачальника, що залежить від обраного критерію диференціації.</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)*К</w:t>
            </w:r>
            <w:r>
              <w:rPr>
                <w:vertAlign w:val="subscript"/>
                <w:lang w:val="uk-UA"/>
              </w:rPr>
              <w:t>пост</w:t>
            </w:r>
            <w:r>
              <w:rPr>
                <w:lang w:val="uk-UA"/>
              </w:rPr>
              <w:t>.</w:t>
            </w:r>
            <w:r>
              <w:rPr>
                <w:rStyle w:val="FontStyle12"/>
                <w:sz w:val="24"/>
                <w:szCs w:val="24"/>
                <w:lang w:val="uk-UA" w:eastAsia="uk-UA"/>
              </w:rPr>
              <w:t>+ Ц</w:t>
            </w:r>
            <w:r>
              <w:rPr>
                <w:rStyle w:val="FontStyle12"/>
                <w:sz w:val="24"/>
                <w:szCs w:val="24"/>
                <w:vertAlign w:val="subscript"/>
                <w:lang w:val="uk-UA" w:eastAsia="uk-UA"/>
              </w:rPr>
              <w:t xml:space="preserve">ОСП </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         </w:t>
            </w: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             </w:t>
            </w: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та послуги Оператора системи передачі,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lang w:val="uk-UA" w:eastAsia="uk-UA"/>
              </w:rPr>
              <w:t xml:space="preserve"> 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lang w:val="en-US"/>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p>
            <w:pPr>
              <w:pStyle w:val="Style71"/>
              <w:widowControl/>
              <w:spacing w:lineRule="auto" w:line="276"/>
              <w:ind w:firstLine="288"/>
              <w:jc w:val="both"/>
              <w:rPr>
                <w:rStyle w:val="FontStyle12"/>
                <w:sz w:val="24"/>
                <w:szCs w:val="24"/>
                <w:lang w:val="en-US"/>
              </w:rPr>
            </w:pPr>
            <w:r>
              <w:rPr>
                <w:lang w:val="en-US"/>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rPr>
                <w:b/>
                <w:b/>
                <w:u w:val="single"/>
                <w:lang w:val="uk-UA" w:eastAsia="uk-UA"/>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76"/>
              <w:rPr>
                <w:rStyle w:val="FontStyle12"/>
                <w:b/>
                <w:b/>
                <w:sz w:val="24"/>
                <w:szCs w:val="24"/>
                <w:u w:val="single"/>
                <w:lang w:val="uk-UA" w:eastAsia="uk-UA"/>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p>
          <w:p>
            <w:pPr>
              <w:pStyle w:val="Style110"/>
              <w:widowControl/>
              <w:spacing w:lineRule="auto" w:line="276"/>
              <w:rPr>
                <w:rStyle w:val="FontStyle12"/>
                <w:b/>
                <w:b/>
                <w:sz w:val="24"/>
                <w:szCs w:val="24"/>
                <w:u w:val="single"/>
                <w:lang w:val="en-US"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76"/>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 xml:space="preserve">Сторони, у відповідності до чинного законодавства, можуть передбачити у Договорі додаткову відповідальність Споживача або Постачальника. </w:t>
            </w:r>
          </w:p>
          <w:p>
            <w:pPr>
              <w:pStyle w:val="Style110"/>
              <w:widowControl/>
              <w:spacing w:lineRule="auto" w:line="276"/>
              <w:ind w:firstLine="5"/>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29"/>
              <w:rPr>
                <w:rStyle w:val="FontStyle12"/>
                <w:b/>
                <w:b/>
                <w:sz w:val="24"/>
                <w:szCs w:val="24"/>
                <w:lang w:val="uk-UA" w:eastAsia="uk-UA"/>
              </w:rPr>
            </w:pPr>
            <w:r>
              <w:rPr>
                <w:rStyle w:val="FontStyle12"/>
                <w:b/>
                <w:sz w:val="24"/>
                <w:szCs w:val="24"/>
                <w:lang w:val="uk-UA" w:eastAsia="uk-UA"/>
              </w:rPr>
              <w:t>Дана комерційна пропозиція та термін оплати розглядається в індивідуальному порядку.</w:t>
            </w:r>
          </w:p>
          <w:p>
            <w:pPr>
              <w:pStyle w:val="Style110"/>
              <w:widowControl/>
              <w:spacing w:lineRule="auto" w:line="276"/>
              <w:ind w:firstLine="429"/>
              <w:rPr>
                <w:rStyle w:val="FontStyle12"/>
                <w:b/>
                <w:b/>
                <w:sz w:val="24"/>
                <w:szCs w:val="24"/>
                <w:lang w:val="uk-UA" w:eastAsia="uk-UA"/>
              </w:rPr>
            </w:pPr>
            <w:r>
              <w:rPr/>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Оплата за фактично спожиту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76"/>
              <w:ind w:firstLine="429"/>
              <w:rPr>
                <w:rStyle w:val="FontStyle12"/>
                <w:sz w:val="24"/>
                <w:szCs w:val="24"/>
                <w:lang w:val="uk-UA" w:eastAsia="uk-UA"/>
              </w:rPr>
            </w:pPr>
            <w:r>
              <w:rPr/>
            </w:r>
          </w:p>
          <w:p>
            <w:pPr>
              <w:pStyle w:val="Style110"/>
              <w:widowControl/>
              <w:spacing w:lineRule="auto" w:line="276"/>
              <w:ind w:firstLine="429"/>
              <w:rPr>
                <w:rStyle w:val="Rvts0"/>
                <w:b/>
                <w:b/>
                <w:lang w:val="uk-UA"/>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p>
            <w:pPr>
              <w:pStyle w:val="Style110"/>
              <w:widowControl/>
              <w:spacing w:lineRule="auto" w:line="276"/>
              <w:ind w:firstLine="429"/>
              <w:rPr>
                <w:rStyle w:val="FontStyle12"/>
                <w:b/>
                <w:b/>
                <w:sz w:val="24"/>
                <w:szCs w:val="24"/>
                <w:lang w:val="uk-UA" w:eastAsia="uk-UA"/>
              </w:rPr>
            </w:pPr>
            <w:r>
              <w:rPr/>
            </w:r>
          </w:p>
        </w:tc>
      </w:tr>
      <w:tr>
        <w:trPr>
          <w:trHeight w:val="101" w:hRule="atLeast"/>
        </w:trPr>
        <w:tc>
          <w:tcPr>
            <w:tcW w:w="2411" w:type="dxa"/>
            <w:vMerge w:val="restart"/>
            <w:tcBorders>
              <w:top w:val="single" w:sz="6" w:space="0" w:color="000000"/>
              <w:left w:val="single" w:sz="6" w:space="0" w:color="000000"/>
            </w:tcBorders>
            <w:shd w:fill="auto" w:val="clear"/>
            <w:vAlign w:val="center"/>
          </w:tcPr>
          <w:p>
            <w:pPr>
              <w:pStyle w:val="Style51"/>
              <w:widowControl/>
              <w:spacing w:lineRule="auto" w:line="240"/>
              <w:rPr/>
            </w:pPr>
            <w:r>
              <w:rPr>
                <w:rStyle w:val="FontStyle11"/>
                <w:sz w:val="24"/>
                <w:szCs w:val="24"/>
                <w:lang w:val="uk-UA" w:eastAsia="uk-UA"/>
              </w:rPr>
              <w:t>Критерії диференціації</w:t>
            </w:r>
          </w:p>
          <w:p>
            <w:pPr>
              <w:pStyle w:val="Style51"/>
              <w:widowControl/>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Обсяги споживання</w:t>
            </w:r>
          </w:p>
          <w:p>
            <w:pPr>
              <w:pStyle w:val="Style110"/>
              <w:widowControl/>
              <w:spacing w:lineRule="auto" w:line="276"/>
              <w:jc w:val="center"/>
              <w:rPr/>
            </w:pPr>
            <w:r>
              <w:rPr>
                <w:rStyle w:val="FontStyle12"/>
                <w:sz w:val="24"/>
                <w:szCs w:val="24"/>
                <w:lang w:val="uk-UA" w:eastAsia="uk-UA"/>
              </w:rPr>
              <w:t>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Варіанти коефіцієнтів</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jc w:val="center"/>
              <w:rPr/>
            </w:pPr>
            <w:r>
              <w:rPr>
                <w:rStyle w:val="FontStyle12"/>
                <w:sz w:val="24"/>
                <w:szCs w:val="24"/>
                <w:lang w:val="uk-UA" w:eastAsia="uk-UA"/>
              </w:rPr>
              <w:t>Підпис Споживача</w:t>
            </w:r>
          </w:p>
          <w:p>
            <w:pPr>
              <w:pStyle w:val="Style110"/>
              <w:widowControl/>
              <w:spacing w:lineRule="auto" w:line="276"/>
              <w:jc w:val="center"/>
              <w:rPr/>
            </w:pPr>
            <w:r>
              <w:rPr>
                <w:rStyle w:val="FontStyle12"/>
                <w:sz w:val="24"/>
                <w:szCs w:val="24"/>
                <w:lang w:val="uk-UA" w:eastAsia="uk-UA"/>
              </w:rPr>
              <w:t>щодо обраного критерію</w:t>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до 500 000 кВт/год</w:t>
            </w:r>
          </w:p>
          <w:p>
            <w:pPr>
              <w:pStyle w:val="Style110"/>
              <w:widowControl/>
              <w:spacing w:lineRule="auto" w:line="276"/>
              <w:rPr>
                <w:rStyle w:val="FontStyle12"/>
                <w:sz w:val="24"/>
                <w:szCs w:val="24"/>
                <w:lang w:val="uk-UA" w:eastAsia="uk-UA"/>
              </w:rPr>
            </w:pPr>
            <w:r>
              <w:rPr/>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500 000 кВт/год до 1 000 000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1 000 000 кВт/год і більше</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p>
            <w:pPr>
              <w:pStyle w:val="Style110"/>
              <w:widowControl/>
              <w:spacing w:lineRule="auto" w:line="276"/>
              <w:jc w:val="center"/>
              <w:rPr>
                <w:rStyle w:val="FontStyle12"/>
                <w:sz w:val="24"/>
                <w:szCs w:val="24"/>
                <w:lang w:val="uk-UA" w:eastAsia="uk-UA"/>
              </w:rPr>
            </w:pPr>
            <w:r>
              <w:rPr/>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val="uk-UA"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p>
            <w:pPr>
              <w:pStyle w:val="Style110"/>
              <w:widowControl/>
              <w:spacing w:lineRule="auto" w:line="276"/>
              <w:ind w:firstLine="430"/>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Rvts0"/>
                <w:lang w:val="uk-UA"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p>
            <w:pPr>
              <w:pStyle w:val="Style110"/>
              <w:widowControl/>
              <w:spacing w:lineRule="auto" w:line="276"/>
              <w:ind w:firstLine="430"/>
              <w:rPr>
                <w:rStyle w:val="FontStyle12"/>
                <w:sz w:val="24"/>
                <w:szCs w:val="24"/>
                <w:lang w:val="uk-UA"/>
              </w:rPr>
            </w:pPr>
            <w:r>
              <w:rPr>
                <w:lang w:val="uk-UA"/>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rStyle w:val="FontStyle11"/>
                <w:sz w:val="24"/>
                <w:szCs w:val="24"/>
                <w:lang w:val="uk-UA" w:eastAsia="uk-UA"/>
              </w:rPr>
            </w:pPr>
            <w:r>
              <w:rPr>
                <w:rStyle w:val="FontStyle11"/>
                <w:sz w:val="24"/>
                <w:szCs w:val="24"/>
                <w:lang w:val="uk-UA" w:eastAsia="uk-UA"/>
              </w:rPr>
              <w:t>Штраф за дострокове припинення договору</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ind w:firstLine="317"/>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uk-UA" w:eastAsia="en-US"/>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lang w:val="uk-UA"/>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uk-UA"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p>
            <w:pPr>
              <w:pStyle w:val="Style71"/>
              <w:widowControl/>
              <w:spacing w:lineRule="auto" w:line="276"/>
              <w:ind w:firstLine="288"/>
              <w:jc w:val="both"/>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ind w:firstLine="317"/>
              <w:jc w:val="both"/>
              <w:rPr>
                <w:rStyle w:val="FontStyle12"/>
                <w:sz w:val="24"/>
                <w:szCs w:val="24"/>
                <w:lang w:val="uk-UA" w:eastAsia="uk-UA"/>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p>
            <w:pPr>
              <w:pStyle w:val="Normal"/>
              <w:widowControl/>
              <w:autoSpaceDE w:val="true"/>
              <w:ind w:firstLine="317"/>
              <w:jc w:val="both"/>
              <w:rPr>
                <w:rStyle w:val="FontStyle12"/>
                <w:sz w:val="24"/>
                <w:szCs w:val="24"/>
                <w:lang w:val="uk-UA" w:eastAsia="uk-UA"/>
              </w:rPr>
            </w:pPr>
            <w:r>
              <w:rPr/>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76"/>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spacing w:lineRule="auto" w:line="276"/>
              <w:jc w:val="both"/>
              <w:rPr>
                <w:lang w:val="uk-UA"/>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Normal"/>
              <w:spacing w:lineRule="auto" w:line="276"/>
              <w:jc w:val="both"/>
              <w:rPr>
                <w:lang w:val="uk-UA"/>
              </w:rPr>
            </w:pPr>
            <w:r>
              <w:rPr>
                <w:lang w:val="uk-UA"/>
              </w:rPr>
            </w:r>
          </w:p>
          <w:p>
            <w:pPr>
              <w:pStyle w:val="Style71"/>
              <w:widowControl/>
              <w:spacing w:lineRule="auto" w:line="276"/>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76"/>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Style71"/>
              <w:widowControl/>
              <w:spacing w:lineRule="auto" w:line="276"/>
              <w:ind w:left="658" w:hanging="0"/>
              <w:jc w:val="both"/>
              <w:rPr>
                <w:rStyle w:val="FontStyle12"/>
                <w:sz w:val="24"/>
                <w:szCs w:val="24"/>
                <w:lang w:eastAsia="uk-UA"/>
              </w:rPr>
            </w:pPr>
            <w:r>
              <w:rPr/>
            </w:r>
          </w:p>
          <w:p>
            <w:pPr>
              <w:pStyle w:val="Normal"/>
              <w:spacing w:lineRule="auto" w:line="276"/>
              <w:jc w:val="both"/>
              <w:rPr/>
            </w:pPr>
            <w:r>
              <w:rPr>
                <w:rStyle w:val="FontStyle12"/>
                <w:b/>
                <w:sz w:val="24"/>
                <w:szCs w:val="24"/>
                <w:lang w:val="uk-UA" w:eastAsia="uk-UA"/>
              </w:rPr>
              <w:t xml:space="preserve"> </w:t>
            </w:r>
          </w:p>
          <w:p>
            <w:pPr>
              <w:pStyle w:val="Normal"/>
              <w:spacing w:lineRule="auto" w:line="276"/>
              <w:jc w:val="both"/>
              <w:rPr/>
            </w:pPr>
            <w:r>
              <w:rPr>
                <w:rStyle w:val="FontStyle12"/>
                <w:b/>
                <w:sz w:val="24"/>
                <w:szCs w:val="24"/>
                <w:lang w:val="uk-UA" w:eastAsia="uk-UA"/>
              </w:rPr>
              <w:t xml:space="preserve">  </w:t>
            </w: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76"/>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sz w:val="28"/>
          <w:szCs w:val="28"/>
          <w:lang w:val="uk-UA"/>
        </w:rPr>
      </w:pPr>
      <w:r>
        <w:rPr>
          <w:sz w:val="28"/>
          <w:szCs w:val="28"/>
          <w:lang w:val="uk-UA"/>
        </w:rPr>
        <w:t>Дана комерційна пропозиція вступає в дію з   ________________20___року</w:t>
      </w:r>
    </w:p>
    <w:p>
      <w:pPr>
        <w:pStyle w:val="Normal"/>
        <w:tabs>
          <w:tab w:val="left" w:pos="1695" w:leader="none"/>
        </w:tabs>
        <w:rPr>
          <w:sz w:val="28"/>
          <w:szCs w:val="28"/>
          <w:lang w:val="uk-UA"/>
        </w:rPr>
      </w:pPr>
      <w:r>
        <w:rPr>
          <w:sz w:val="28"/>
          <w:szCs w:val="28"/>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27"/>
              <w:spacing w:before="0" w:after="0"/>
              <w:rPr>
                <w:color w:val="000000"/>
                <w:lang w:val="uk-UA"/>
              </w:rPr>
            </w:pPr>
            <w:r>
              <w:rPr>
                <w:b/>
                <w:bCs/>
                <w:color w:val="000000"/>
                <w:lang w:val="uk-UA"/>
              </w:rPr>
              <w:t>Постачальник:</w:t>
            </w:r>
          </w:p>
        </w:tc>
        <w:tc>
          <w:tcPr>
            <w:tcW w:w="5440" w:type="dxa"/>
            <w:tcBorders/>
            <w:shd w:fill="auto" w:val="clear"/>
          </w:tcPr>
          <w:p>
            <w:pPr>
              <w:pStyle w:val="Style27"/>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b/>
                <w:b/>
                <w:color w:val="000000"/>
                <w:lang w:val="uk-UA"/>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27"/>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27"/>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27"/>
              <w:spacing w:before="0" w:after="0"/>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27"/>
              <w:spacing w:before="0" w:after="0"/>
              <w:ind w:left="1332" w:hanging="1101"/>
              <w:rPr>
                <w:b/>
                <w:b/>
                <w:color w:val="000000"/>
                <w:lang w:val="uk-UA"/>
              </w:rPr>
            </w:pPr>
            <w:r>
              <w:rPr>
                <w:b/>
                <w:color w:val="000000"/>
                <w:lang w:val="uk-UA"/>
              </w:rPr>
              <w:t>___________________________________</w:t>
            </w:r>
          </w:p>
          <w:p>
            <w:pPr>
              <w:pStyle w:val="Style27"/>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27"/>
              <w:spacing w:before="0" w:after="0"/>
              <w:ind w:left="1332" w:hanging="1086"/>
              <w:rPr>
                <w:b/>
                <w:b/>
                <w:bCs/>
                <w:color w:val="000000"/>
                <w:lang w:val="uk-UA"/>
              </w:rPr>
            </w:pPr>
            <w:r>
              <w:rPr>
                <w:color w:val="000000"/>
                <w:lang w:val="uk-UA"/>
              </w:rPr>
              <w:t>М.П.       «____»_________ 20__ року</w:t>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3">
    <w:name w:val=" Знак Знак3"/>
    <w:qFormat/>
    <w:rPr>
      <w:rFonts w:ascii="Segoe UI" w:hAnsi="Segoe UI" w:cs="Segoe UI"/>
      <w:sz w:val="18"/>
      <w:szCs w:val="18"/>
    </w:rPr>
  </w:style>
  <w:style w:type="character" w:styleId="2">
    <w:name w:val=" Знак Знак2"/>
    <w:qFormat/>
    <w:rPr>
      <w:rFonts w:cs="Times New Roman"/>
      <w:sz w:val="24"/>
      <w:szCs w:val="24"/>
    </w:rPr>
  </w:style>
  <w:style w:type="character" w:styleId="1">
    <w:name w:val=" Знак Знак1"/>
    <w:qFormat/>
    <w:rPr>
      <w:rFonts w:cs="Times New Roman"/>
      <w:sz w:val="24"/>
      <w:szCs w:val="24"/>
    </w:rPr>
  </w:style>
  <w:style w:type="character" w:styleId="Style16">
    <w:name w:val="Знак примечания"/>
    <w:qFormat/>
    <w:rPr>
      <w:rFonts w:cs="Times New Roman"/>
      <w:sz w:val="16"/>
      <w:szCs w:val="16"/>
    </w:rPr>
  </w:style>
  <w:style w:type="character" w:styleId="Style17">
    <w:name w:val=" Знак Знак"/>
    <w:qFormat/>
    <w:rPr>
      <w:rFonts w:cs="Times New Roman"/>
      <w:sz w:val="20"/>
      <w:szCs w:val="20"/>
    </w:rPr>
  </w:style>
  <w:style w:type="character" w:styleId="Rvts0">
    <w:name w:val="rvts0"/>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3">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4">
    <w:name w:val="Текст выноски"/>
    <w:basedOn w:val="Normal"/>
    <w:qFormat/>
    <w:pPr/>
    <w:rPr>
      <w:rFonts w:ascii="Segoe UI" w:hAnsi="Segoe UI" w:cs="Segoe UI"/>
      <w:sz w:val="18"/>
      <w:szCs w:val="18"/>
    </w:rPr>
  </w:style>
  <w:style w:type="paragraph" w:styleId="Style25">
    <w:name w:val="Header"/>
    <w:basedOn w:val="Normal"/>
    <w:pPr/>
    <w:rPr/>
  </w:style>
  <w:style w:type="paragraph" w:styleId="Style26">
    <w:name w:val="Footer"/>
    <w:basedOn w:val="Normal"/>
    <w:pPr/>
    <w:rPr/>
  </w:style>
  <w:style w:type="paragraph" w:styleId="Style27">
    <w:name w:val="Обычный (веб)"/>
    <w:basedOn w:val="Normal"/>
    <w:qFormat/>
    <w:pPr>
      <w:widowControl/>
      <w:suppressAutoHyphens w:val="true"/>
      <w:autoSpaceDE w:val="true"/>
      <w:spacing w:before="280" w:after="280"/>
    </w:pPr>
    <w:rPr>
      <w:lang w:eastAsia="zh-CN"/>
    </w:rPr>
  </w:style>
  <w:style w:type="paragraph" w:styleId="Style28">
    <w:name w:val="Текст примечания"/>
    <w:basedOn w:val="Normal"/>
    <w:qFormat/>
    <w:pPr/>
    <w:rPr>
      <w:sz w:val="20"/>
      <w:szCs w:val="20"/>
    </w:rPr>
  </w:style>
  <w:style w:type="paragraph" w:styleId="1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2">
    <w:name w:val="TOC 1"/>
    <w:basedOn w:val="Normal"/>
    <w:next w:val="Normal"/>
    <w:pPr>
      <w:widowControl/>
      <w:overflowPunct w:val="false"/>
      <w:spacing w:before="120" w:after="0"/>
      <w:textAlignment w:val="baseline"/>
    </w:pPr>
    <w:rPr>
      <w:b/>
      <w:szCs w:val="20"/>
      <w:lang w:val="uk-UA"/>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TotalTime>
  <Application>LibreOffice/6.1.0.3$Windows_x86 LibreOffice_project/efb621ed25068d70781dc026f7e9c5187a4decd1</Application>
  <Pages>6</Pages>
  <Words>1638</Words>
  <Characters>11390</Characters>
  <CharactersWithSpaces>13078</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2019-08-22T13:43:00Z</dcterms:created>
  <dc:creator>Rezydent Kostiantyn</dc:creator>
  <dc:description/>
  <cp:keywords/>
  <dc:language>ru-RU</dc:language>
  <cp:lastModifiedBy>User</cp:lastModifiedBy>
  <cp:lastPrinted>2019-07-23T10:24:00Z</cp:lastPrinted>
  <dcterms:modified xsi:type="dcterms:W3CDTF">2020-01-20T10:33:00Z</dcterms:modified>
  <cp:revision>10</cp:revision>
  <dc:subject/>
  <dc:title/>
</cp:coreProperties>
</file>