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widowControl/>
        <w:spacing w:before="53" w:after="0"/>
        <w:ind w:left="6374" w:hanging="0"/>
        <w:rPr/>
      </w:pPr>
      <w:r>
        <w:rPr>
          <w:rStyle w:val="FontStyle12"/>
          <w:sz w:val="24"/>
          <w:szCs w:val="24"/>
          <w:lang w:val="uk-UA" w:eastAsia="uk-UA"/>
        </w:rPr>
        <w:t>Додаток № 2</w:t>
      </w:r>
    </w:p>
    <w:p>
      <w:pPr>
        <w:pStyle w:val="Style26"/>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6"/>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w:t>
      </w:r>
      <w:r>
        <w:rPr>
          <w:rStyle w:val="FontStyle11"/>
          <w:rFonts w:cs="Trebuchet MS" w:ascii="Trebuchet MS" w:hAnsi="Trebuchet MS"/>
          <w:sz w:val="28"/>
          <w:u w:val="single"/>
          <w:lang w:val="en-US" w:eastAsia="uk-UA"/>
        </w:rPr>
        <w:t>3</w:t>
      </w:r>
      <w:r>
        <w:rPr>
          <w:rStyle w:val="FontStyle11"/>
          <w:rFonts w:cs="Trebuchet MS" w:ascii="Trebuchet MS" w:hAnsi="Trebuchet MS"/>
          <w:sz w:val="28"/>
          <w:u w:val="single"/>
          <w:lang w:val="uk-UA" w:eastAsia="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w:t>
      </w:r>
      <w:r>
        <w:rPr>
          <w:rStyle w:val="FontStyle11"/>
          <w:b w:val="false"/>
          <w:sz w:val="24"/>
          <w:szCs w:val="24"/>
          <w:lang w:eastAsia="uk-UA"/>
        </w:rPr>
        <w:t>3</w:t>
      </w:r>
      <w:r>
        <w:rPr>
          <w:rStyle w:val="FontStyle11"/>
          <w:b w:val="false"/>
          <w:sz w:val="24"/>
          <w:szCs w:val="24"/>
          <w:lang w:val="uk-UA" w:eastAsia="uk-UA"/>
        </w:rPr>
        <w:t xml:space="preserve">,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4"/>
          <w:szCs w:val="24"/>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 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     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pPr>
            <w:r>
              <w:rPr>
                <w:rStyle w:val="FontStyle12"/>
                <w:sz w:val="24"/>
                <w:szCs w:val="24"/>
                <w:lang w:val="uk-UA" w:eastAsia="uk-UA"/>
              </w:rPr>
              <w:t>Початкова (прогнозна) ціна за 1 кВт*год на електричну енергію для Споживача розраховується за наступною формулою:</w:t>
            </w:r>
          </w:p>
          <w:p>
            <w:pPr>
              <w:pStyle w:val="Style110"/>
              <w:widowControl/>
              <w:spacing w:lineRule="auto" w:line="276"/>
              <w:ind w:firstLine="425"/>
              <w:jc w:val="center"/>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w:t>
            </w:r>
            <w:r>
              <w:rPr>
                <w:rStyle w:val="FontStyle12"/>
                <w:sz w:val="24"/>
                <w:szCs w:val="24"/>
                <w:lang w:val="en-US" w:eastAsia="uk-UA"/>
              </w:rPr>
              <w:t>K</w:t>
            </w:r>
            <w:r>
              <w:rPr>
                <w:vertAlign w:val="subscript"/>
                <w:lang w:val="uk-UA"/>
              </w:rPr>
              <w:t>пост</w:t>
            </w:r>
            <w:r>
              <w:rPr>
                <w:rStyle w:val="FontStyle12"/>
                <w:sz w:val="24"/>
                <w:szCs w:val="24"/>
                <w:lang w:val="uk-UA" w:eastAsia="uk-UA"/>
              </w:rPr>
              <w:t>*Ц</w:t>
            </w:r>
            <w:r>
              <w:rPr>
                <w:rStyle w:val="FontStyle12"/>
                <w:sz w:val="24"/>
                <w:szCs w:val="24"/>
                <w:vertAlign w:val="subscript"/>
                <w:lang w:val="uk-UA" w:eastAsia="uk-UA"/>
              </w:rPr>
              <w:t>сзт</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сзт</w:t>
            </w:r>
            <w:r>
              <w:rPr>
                <w:rStyle w:val="FontStyle12"/>
                <w:sz w:val="24"/>
                <w:szCs w:val="24"/>
                <w:lang w:val="uk-UA" w:eastAsia="uk-UA"/>
              </w:rPr>
              <w:t xml:space="preserve"> — середньозважена ціна (тариф) місяця що передує розрахунковому, з урахуванням тарифу на передачу ОСП, без урахування ПДВ.</w:t>
            </w:r>
          </w:p>
          <w:p>
            <w:pPr>
              <w:pStyle w:val="Style110"/>
              <w:widowControl/>
              <w:spacing w:lineRule="auto" w:line="276"/>
              <w:ind w:firstLine="424"/>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ОСП</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                  </w:t>
            </w: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           </w:t>
            </w: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vertAlign w:val="subscript"/>
                <w:lang w:val="uk-UA" w:eastAsia="uk-UA"/>
              </w:rPr>
              <w:t xml:space="preserve"> </w:t>
            </w:r>
            <w:r>
              <w:rPr>
                <w:rStyle w:val="FontStyle12"/>
                <w:sz w:val="24"/>
                <w:szCs w:val="24"/>
                <w:lang w:val="uk-UA" w:eastAsia="uk-UA"/>
              </w:rPr>
              <w:t>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40"/>
              <w:ind w:firstLine="288"/>
              <w:jc w:val="both"/>
              <w:rPr>
                <w:rStyle w:val="FontStyle12"/>
                <w:sz w:val="24"/>
                <w:szCs w:val="24"/>
                <w:lang w:val="uk-UA"/>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76"/>
              <w:rPr>
                <w:rStyle w:val="FontStyle12"/>
                <w:sz w:val="24"/>
                <w:szCs w:val="24"/>
                <w:lang w:val="uk-UA" w:eastAsia="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r>
              <w:rPr>
                <w:rStyle w:val="FontStyle12"/>
                <w:sz w:val="24"/>
                <w:szCs w:val="24"/>
                <w:lang w:val="uk-UA" w:eastAsia="uk-UA"/>
              </w:rPr>
              <w:t xml:space="preserve">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29"/>
              <w:rPr>
                <w:rStyle w:val="FontStyle12"/>
                <w:sz w:val="24"/>
                <w:szCs w:val="24"/>
                <w:lang w:val="uk-UA"/>
              </w:rPr>
            </w:pPr>
            <w:r>
              <w:rPr>
                <w:rStyle w:val="FontStyle11"/>
                <w:sz w:val="24"/>
                <w:szCs w:val="24"/>
                <w:lang w:val="uk-UA" w:eastAsia="uk-UA"/>
              </w:rPr>
              <w:t>Оплата електричної енергії здійснюється Споживачем згідно з умовами цієї Комерційної пропозиції та Договору про постачання електричної енергії споживачу.</w:t>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Оплата прогнозної вартості обсягу електричної енергії, що заявляються Споживачем на розрахунковий період, здійснюється Споживачем плановими платежами за графіком, зазначеним у цій Комерційній пропозиції, з наступним проведенням остаточного розрахунку за середньозваженою ціною електричної енергії у розрахунковому періоді з урахуванням даних комерційного обліку обсягу електричної енергії, фактично відпущеної Споживачу.</w:t>
            </w:r>
          </w:p>
          <w:p>
            <w:pPr>
              <w:pStyle w:val="Style110"/>
              <w:widowControl/>
              <w:spacing w:lineRule="auto" w:line="276"/>
              <w:ind w:firstLine="429"/>
              <w:rPr/>
            </w:pPr>
            <w:r>
              <w:rPr>
                <w:rStyle w:val="FontStyle12"/>
                <w:sz w:val="24"/>
                <w:szCs w:val="24"/>
                <w:lang w:val="uk-UA" w:eastAsia="uk-UA"/>
              </w:rPr>
              <w:t xml:space="preserve">Оплата електричної енергії здійснюється споживачем плановими платежами за наступним графіком: </w:t>
            </w:r>
          </w:p>
          <w:p>
            <w:pPr>
              <w:pStyle w:val="Style110"/>
              <w:widowControl/>
              <w:spacing w:lineRule="auto" w:line="276"/>
              <w:ind w:firstLine="429"/>
              <w:rPr/>
            </w:pPr>
            <w:r>
              <w:rPr>
                <w:rStyle w:val="FontStyle12"/>
                <w:sz w:val="24"/>
                <w:szCs w:val="24"/>
                <w:lang w:val="uk-UA" w:eastAsia="uk-UA"/>
              </w:rPr>
              <w:t xml:space="preserve">- </w:t>
            </w:r>
            <w:r>
              <w:rPr>
                <w:lang w:val="uk-UA" w:eastAsia="uk-UA"/>
              </w:rPr>
              <w:t xml:space="preserve">з </w:t>
            </w:r>
            <w:r>
              <w:rPr>
                <w:rStyle w:val="FontStyle12"/>
                <w:sz w:val="24"/>
                <w:szCs w:val="24"/>
                <w:lang w:val="uk-UA" w:eastAsia="uk-UA"/>
              </w:rPr>
              <w:t>10 по 15 число звітного розрахункового періоду 35% вартості заявлених обсягів на розрахунковий період з урахуванням ПДВ;</w:t>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 з 20 по 25 число звітного розрахункового періоду 35% вартості заявлених обсягів на розрахунковий період з урахуванням ПДВ;</w:t>
            </w:r>
          </w:p>
          <w:p>
            <w:pPr>
              <w:pStyle w:val="Style110"/>
              <w:widowControl/>
              <w:spacing w:lineRule="auto" w:line="276"/>
              <w:ind w:firstLine="429"/>
              <w:rPr/>
            </w:pPr>
            <w:r>
              <w:rPr>
                <w:rStyle w:val="FontStyle12"/>
                <w:sz w:val="24"/>
                <w:szCs w:val="24"/>
                <w:lang w:val="uk-UA" w:eastAsia="uk-UA"/>
              </w:rPr>
              <w:t xml:space="preserve">- до 10 число місяця наступного за розрахунковим остаточний розрахунок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 урахуванням ПДВ. </w:t>
            </w:r>
          </w:p>
          <w:p>
            <w:pPr>
              <w:pStyle w:val="Style110"/>
              <w:widowControl/>
              <w:spacing w:lineRule="auto" w:line="276"/>
              <w:ind w:firstLine="429"/>
              <w:rPr/>
            </w:pPr>
            <w:r>
              <w:rPr>
                <w:rStyle w:val="FontStyle12"/>
                <w:sz w:val="24"/>
                <w:szCs w:val="24"/>
                <w:lang w:val="uk-UA" w:eastAsia="uk-UA"/>
              </w:rPr>
              <w:t>Планові платежі здійснюються у розмірах, кожний з яких визначаються за наступною формулою:</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O</w:t>
            </w:r>
            <w:r>
              <w:rPr>
                <w:rStyle w:val="FontStyle12"/>
                <w:sz w:val="24"/>
                <w:szCs w:val="24"/>
                <w:vertAlign w:val="subscript"/>
                <w:lang w:val="uk-UA" w:eastAsia="uk-UA"/>
              </w:rPr>
              <w:t>1</w:t>
            </w:r>
            <w:r>
              <w:rPr>
                <w:rStyle w:val="FontStyle12"/>
                <w:sz w:val="24"/>
                <w:szCs w:val="24"/>
                <w:lang w:val="uk-UA" w:eastAsia="uk-UA"/>
              </w:rPr>
              <w:t xml:space="preserve"> = 0,35*Wзаяв*Ц</w:t>
            </w:r>
            <w:r>
              <w:rPr>
                <w:rStyle w:val="FontStyle12"/>
                <w:sz w:val="24"/>
                <w:szCs w:val="24"/>
                <w:vertAlign w:val="subscript"/>
                <w:lang w:val="uk-UA" w:eastAsia="uk-UA"/>
              </w:rPr>
              <w:t>прогн</w:t>
            </w:r>
            <w:r>
              <w:rPr>
                <w:rStyle w:val="FontStyle12"/>
                <w:sz w:val="24"/>
                <w:szCs w:val="24"/>
                <w:lang w:val="uk-UA" w:eastAsia="uk-UA"/>
              </w:rPr>
              <w:t>, O</w:t>
            </w:r>
            <w:r>
              <w:rPr>
                <w:rStyle w:val="FontStyle12"/>
                <w:sz w:val="24"/>
                <w:szCs w:val="24"/>
                <w:vertAlign w:val="subscript"/>
                <w:lang w:val="uk-UA" w:eastAsia="uk-UA"/>
              </w:rPr>
              <w:t>2</w:t>
            </w:r>
            <w:r>
              <w:rPr>
                <w:rStyle w:val="FontStyle12"/>
                <w:sz w:val="24"/>
                <w:szCs w:val="24"/>
                <w:lang w:val="uk-UA" w:eastAsia="uk-UA"/>
              </w:rPr>
              <w:t xml:space="preserve"> = 0,35*Wзаяв* Ц</w:t>
            </w:r>
            <w:r>
              <w:rPr>
                <w:rStyle w:val="FontStyle12"/>
                <w:sz w:val="24"/>
                <w:szCs w:val="24"/>
                <w:vertAlign w:val="subscript"/>
                <w:lang w:val="uk-UA" w:eastAsia="uk-UA"/>
              </w:rPr>
              <w:t>прогн</w:t>
            </w:r>
            <w:r>
              <w:rPr>
                <w:rStyle w:val="FontStyle12"/>
                <w:sz w:val="24"/>
                <w:szCs w:val="24"/>
                <w:lang w:val="uk-UA" w:eastAsia="uk-UA"/>
              </w:rPr>
              <w:t xml:space="preserve">, </w:t>
            </w:r>
          </w:p>
          <w:p>
            <w:pPr>
              <w:pStyle w:val="Style110"/>
              <w:widowControl/>
              <w:spacing w:lineRule="auto" w:line="276"/>
              <w:ind w:firstLine="429"/>
              <w:rPr/>
            </w:pPr>
            <w:r>
              <w:rPr>
                <w:rStyle w:val="FontStyle12"/>
                <w:sz w:val="24"/>
                <w:szCs w:val="24"/>
                <w:lang w:val="uk-UA" w:eastAsia="uk-UA"/>
              </w:rPr>
              <w:t>де  W</w:t>
            </w:r>
            <w:r>
              <w:rPr>
                <w:rStyle w:val="FontStyle12"/>
                <w:sz w:val="24"/>
                <w:szCs w:val="24"/>
                <w:vertAlign w:val="subscript"/>
                <w:lang w:val="uk-UA" w:eastAsia="uk-UA"/>
              </w:rPr>
              <w:t>заяв</w:t>
            </w:r>
            <w:r>
              <w:rPr>
                <w:rStyle w:val="FontStyle12"/>
                <w:sz w:val="24"/>
                <w:szCs w:val="24"/>
                <w:lang w:val="uk-UA" w:eastAsia="uk-UA"/>
              </w:rPr>
              <w:t xml:space="preserve">  -  заявлені Споживачем обсяги споживання на розрахунковий період, </w:t>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 xml:space="preserve"> - середньозважена ціна (тариф), механізм визначення якої вказаний у розділі «Формування договірної ціни електроенергії» цієї Комерційної пропозиції. </w:t>
            </w:r>
          </w:p>
          <w:p>
            <w:pPr>
              <w:pStyle w:val="Style110"/>
              <w:widowControl/>
              <w:spacing w:lineRule="auto" w:line="276"/>
              <w:ind w:firstLine="429"/>
              <w:rPr>
                <w:rStyle w:val="FontStyle12"/>
                <w:sz w:val="24"/>
                <w:szCs w:val="24"/>
                <w:lang w:val="en-US" w:eastAsia="uk-UA"/>
              </w:rPr>
            </w:pPr>
            <w:r>
              <w:rPr>
                <w:rStyle w:val="FontStyle12"/>
                <w:sz w:val="24"/>
                <w:szCs w:val="24"/>
                <w:lang w:val="uk-UA" w:eastAsia="uk-UA"/>
              </w:rPr>
              <w:t xml:space="preserve">Оплата здійснюється на рахунок  Постачальника, зазначений  у   Договорі та розрахункових документах. </w:t>
            </w:r>
          </w:p>
          <w:p>
            <w:pPr>
              <w:pStyle w:val="Style110"/>
              <w:widowControl/>
              <w:spacing w:lineRule="auto" w:line="276"/>
              <w:ind w:firstLine="429"/>
              <w:rPr>
                <w:rStyle w:val="FontStyle12"/>
                <w:sz w:val="24"/>
                <w:szCs w:val="24"/>
                <w:lang w:val="uk-UA" w:eastAsia="uk-UA"/>
              </w:rPr>
            </w:pPr>
            <w:r>
              <w:rPr>
                <w:rStyle w:val="FontStyle12"/>
                <w:b/>
                <w:sz w:val="24"/>
                <w:szCs w:val="24"/>
                <w:lang w:val="uk-UA" w:eastAsia="uk-UA"/>
              </w:rPr>
              <w:t>Остаточний розрахунок</w:t>
            </w:r>
            <w:r>
              <w:rPr>
                <w:rStyle w:val="FontStyle12"/>
                <w:sz w:val="24"/>
                <w:szCs w:val="24"/>
                <w:lang w:val="uk-UA" w:eastAsia="uk-UA"/>
              </w:rPr>
              <w:t xml:space="preserve">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76"/>
              <w:ind w:firstLine="429"/>
              <w:rPr>
                <w:rStyle w:val="Rvts0"/>
                <w:lang w:val="uk-UA" w:eastAsia="uk-UA"/>
              </w:rPr>
            </w:pPr>
            <w:r>
              <w:rPr>
                <w:rStyle w:val="FontStyle12"/>
                <w:sz w:val="24"/>
                <w:szCs w:val="24"/>
                <w:lang w:val="uk-UA" w:eastAsia="uk-UA"/>
              </w:rPr>
              <w:t>У разі виявлення Сторонами переплати за фактично спожиту електроенергію, сума переплати може бути зарахована Постачальником як платіж Споживача на наступний розрахунковий період або повернута Постачальником на розрахунковий рахунок Споживача за його вимогою.</w:t>
            </w:r>
          </w:p>
          <w:p>
            <w:pPr>
              <w:pStyle w:val="Style110"/>
              <w:widowControl/>
              <w:spacing w:lineRule="auto" w:line="276"/>
              <w:ind w:firstLine="429"/>
              <w:rPr>
                <w:rStyle w:val="FontStyle12"/>
                <w:sz w:val="24"/>
                <w:szCs w:val="24"/>
                <w:lang w:val="uk-UA" w:eastAsia="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tc>
      </w:tr>
      <w:tr>
        <w:trPr>
          <w:trHeight w:val="101"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до 500 000 кВт/год</w:t>
            </w:r>
          </w:p>
          <w:p>
            <w:pPr>
              <w:pStyle w:val="Style110"/>
              <w:widowControl/>
              <w:spacing w:lineRule="auto" w:line="276"/>
              <w:rPr>
                <w:rStyle w:val="FontStyle12"/>
                <w:sz w:val="24"/>
                <w:szCs w:val="24"/>
                <w:lang w:val="uk-UA" w:eastAsia="uk-UA"/>
              </w:rPr>
            </w:pPr>
            <w:r>
              <w:rPr/>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FontStyle12"/>
                <w:sz w:val="24"/>
                <w:szCs w:val="24"/>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ind w:firstLine="317"/>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uk-UA"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ind w:firstLine="317"/>
              <w:jc w:val="both"/>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p>
            <w:pPr>
              <w:pStyle w:val="Style71"/>
              <w:widowControl/>
              <w:spacing w:lineRule="auto" w:line="240"/>
              <w:ind w:left="14" w:firstLine="288"/>
              <w:rPr>
                <w:rStyle w:val="FontStyle12"/>
                <w:sz w:val="24"/>
                <w:szCs w:val="24"/>
                <w:lang w:val="uk-UA" w:eastAsia="uk-UA"/>
              </w:rPr>
            </w:pPr>
            <w:r>
              <w:rPr/>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jc w:val="both"/>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rPr>
                <w:lang w:val="uk-UA"/>
              </w:rPr>
            </w:pPr>
            <w:r>
              <w:rPr>
                <w:lang w:val="uk-UA"/>
              </w:rPr>
            </w:r>
          </w:p>
          <w:p>
            <w:pPr>
              <w:pStyle w:val="Style71"/>
              <w:widowControl/>
              <w:spacing w:lineRule="auto" w:line="240"/>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40"/>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40"/>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40"/>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jc w:val="both"/>
              <w:rPr/>
            </w:pPr>
            <w:r>
              <w:rPr>
                <w:rStyle w:val="FontStyle12"/>
                <w:b/>
                <w:sz w:val="24"/>
                <w:szCs w:val="24"/>
                <w:lang w:val="uk-UA" w:eastAsia="uk-UA"/>
              </w:rPr>
              <w:t xml:space="preserve"> </w:t>
            </w:r>
          </w:p>
          <w:p>
            <w:pPr>
              <w:pStyle w:val="Normal"/>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40"/>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30"/>
              <w:spacing w:before="0" w:after="0"/>
              <w:rPr>
                <w:color w:val="000000"/>
                <w:lang w:val="uk-UA"/>
              </w:rPr>
            </w:pPr>
            <w:r>
              <w:rPr>
                <w:b/>
                <w:bCs/>
                <w:color w:val="000000"/>
                <w:lang w:val="uk-UA"/>
              </w:rPr>
              <w:t>Постачальник:</w:t>
            </w:r>
          </w:p>
        </w:tc>
        <w:tc>
          <w:tcPr>
            <w:tcW w:w="5440" w:type="dxa"/>
            <w:tcBorders/>
            <w:shd w:fill="auto" w:val="clear"/>
          </w:tcPr>
          <w:p>
            <w:pPr>
              <w:pStyle w:val="Style30"/>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30"/>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30"/>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30"/>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30"/>
              <w:spacing w:before="0" w:after="0"/>
              <w:ind w:left="1332" w:hanging="1101"/>
              <w:rPr>
                <w:b/>
                <w:b/>
                <w:color w:val="000000"/>
                <w:lang w:val="uk-UA"/>
              </w:rPr>
            </w:pPr>
            <w:r>
              <w:rPr>
                <w:b/>
                <w:color w:val="000000"/>
                <w:lang w:val="uk-UA"/>
              </w:rPr>
              <w:t>___________________________________</w:t>
            </w:r>
          </w:p>
          <w:p>
            <w:pPr>
              <w:pStyle w:val="Style30"/>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30"/>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Style16">
    <w:name w:val="Текст выноски Знак"/>
    <w:qFormat/>
    <w:rPr>
      <w:rFonts w:ascii="Segoe UI" w:hAnsi="Segoe UI" w:cs="Segoe UI"/>
      <w:sz w:val="18"/>
      <w:szCs w:val="18"/>
    </w:rPr>
  </w:style>
  <w:style w:type="character" w:styleId="Style17">
    <w:name w:val="Верхний колонтитул Знак"/>
    <w:qFormat/>
    <w:rPr>
      <w:rFonts w:cs="Times New Roman"/>
      <w:sz w:val="24"/>
      <w:szCs w:val="24"/>
    </w:rPr>
  </w:style>
  <w:style w:type="character" w:styleId="Style18">
    <w:name w:val="Нижний колонтитул Знак"/>
    <w:qFormat/>
    <w:rPr>
      <w:rFonts w:cs="Times New Roman"/>
      <w:sz w:val="24"/>
      <w:szCs w:val="24"/>
    </w:rPr>
  </w:style>
  <w:style w:type="character" w:styleId="Style19">
    <w:name w:val="Знак примечания"/>
    <w:qFormat/>
    <w:rPr>
      <w:rFonts w:cs="Times New Roman"/>
      <w:sz w:val="16"/>
      <w:szCs w:val="16"/>
    </w:rPr>
  </w:style>
  <w:style w:type="character" w:styleId="Style20">
    <w:name w:val="Текст примечания Знак"/>
    <w:qFormat/>
    <w:rPr>
      <w:rFonts w:cs="Times New Roman"/>
      <w:sz w:val="20"/>
      <w:szCs w:val="20"/>
    </w:rPr>
  </w:style>
  <w:style w:type="character" w:styleId="Rvts0">
    <w:name w:val="rvts0"/>
    <w:qFormat/>
    <w:rPr>
      <w:rFonts w:cs="Times New Roma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6">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7">
    <w:name w:val="Текст выноски"/>
    <w:basedOn w:val="Normal"/>
    <w:qFormat/>
    <w:pPr/>
    <w:rPr>
      <w:rFonts w:ascii="Segoe UI" w:hAnsi="Segoe UI" w:cs="Segoe UI"/>
      <w:sz w:val="18"/>
      <w:szCs w:val="18"/>
    </w:rPr>
  </w:style>
  <w:style w:type="paragraph" w:styleId="Style28">
    <w:name w:val="Header"/>
    <w:basedOn w:val="Normal"/>
    <w:pPr/>
    <w:rPr/>
  </w:style>
  <w:style w:type="paragraph" w:styleId="Style29">
    <w:name w:val="Footer"/>
    <w:basedOn w:val="Normal"/>
    <w:pPr/>
    <w:rPr/>
  </w:style>
  <w:style w:type="paragraph" w:styleId="Style30">
    <w:name w:val="Обычный (веб)"/>
    <w:basedOn w:val="Normal"/>
    <w:qFormat/>
    <w:pPr>
      <w:widowControl/>
      <w:suppressAutoHyphens w:val="true"/>
      <w:autoSpaceDE w:val="true"/>
      <w:spacing w:before="280" w:after="280"/>
    </w:pPr>
    <w:rPr>
      <w:lang w:eastAsia="zh-CN"/>
    </w:rPr>
  </w:style>
  <w:style w:type="paragraph" w:styleId="Style32">
    <w:name w:val="Текст примечания"/>
    <w:basedOn w:val="Normal"/>
    <w:qFormat/>
    <w:pPr/>
    <w:rPr>
      <w:sz w:val="20"/>
      <w:szCs w:val="20"/>
    </w:rPr>
  </w:style>
  <w:style w:type="paragraph" w:styleId="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1">
    <w:name w:val="TOC 1"/>
    <w:basedOn w:val="Normal"/>
    <w:next w:val="Normal"/>
    <w:pPr>
      <w:widowControl/>
      <w:overflowPunct w:val="false"/>
      <w:spacing w:before="120" w:after="0"/>
      <w:textAlignment w:val="baseline"/>
    </w:pPr>
    <w:rPr>
      <w:b/>
      <w:szCs w:val="20"/>
      <w:lang w:val="uk-UA"/>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51</TotalTime>
  <Application>LibreOffice/6.1.0.3$Windows_x86 LibreOffice_project/efb621ed25068d70781dc026f7e9c5187a4decd1</Application>
  <Pages>6</Pages>
  <Words>1892</Words>
  <Characters>13187</Characters>
  <CharactersWithSpaces>15152</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2019-12-05T13:45:00Z</dcterms:created>
  <dc:creator>Rezydent Kostiantyn</dc:creator>
  <dc:description/>
  <cp:keywords/>
  <dc:language>ru-RU</dc:language>
  <cp:lastModifiedBy>Rezedent K</cp:lastModifiedBy>
  <cp:lastPrinted>2020-01-08T17:12:00Z</cp:lastPrinted>
  <dcterms:modified xsi:type="dcterms:W3CDTF">2020-01-08T17:35:00Z</dcterms:modified>
  <cp:revision>8</cp:revision>
  <dc:subject/>
  <dc:title>Додаток № 2</dc:title>
</cp:coreProperties>
</file>